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E1856" w14:textId="6E422190" w:rsidR="009E7058" w:rsidRPr="009E7058" w:rsidRDefault="009E7058" w:rsidP="00EB319C">
      <w:pPr>
        <w:spacing w:after="0" w:line="240" w:lineRule="auto"/>
        <w:rPr>
          <w:rFonts w:ascii="Aptos" w:eastAsia="Times New Roman" w:hAnsi="Aptos" w:cs="Times New Roman"/>
          <w:b/>
          <w:bCs/>
          <w:color w:val="000000"/>
          <w:kern w:val="0"/>
          <w:lang w:eastAsia="en-GB"/>
          <w14:ligatures w14:val="none"/>
        </w:rPr>
      </w:pPr>
      <w:proofErr w:type="spellStart"/>
      <w:r w:rsidRPr="009E7058">
        <w:rPr>
          <w:rFonts w:ascii="Aptos" w:eastAsia="Times New Roman" w:hAnsi="Aptos" w:cs="Times New Roman"/>
          <w:b/>
          <w:bCs/>
          <w:color w:val="000000"/>
          <w:kern w:val="0"/>
          <w:lang w:eastAsia="en-GB"/>
          <w14:ligatures w14:val="none"/>
        </w:rPr>
        <w:t>Batheaston</w:t>
      </w:r>
      <w:proofErr w:type="spellEnd"/>
      <w:r w:rsidRPr="009E7058">
        <w:rPr>
          <w:rFonts w:ascii="Aptos" w:eastAsia="Times New Roman" w:hAnsi="Aptos" w:cs="Times New Roman"/>
          <w:b/>
          <w:bCs/>
          <w:color w:val="000000"/>
          <w:kern w:val="0"/>
          <w:lang w:eastAsia="en-GB"/>
          <w14:ligatures w14:val="none"/>
        </w:rPr>
        <w:t xml:space="preserve"> Art Trail and Grow </w:t>
      </w:r>
      <w:proofErr w:type="spellStart"/>
      <w:r w:rsidRPr="009E7058">
        <w:rPr>
          <w:rFonts w:ascii="Aptos" w:eastAsia="Times New Roman" w:hAnsi="Aptos" w:cs="Times New Roman"/>
          <w:b/>
          <w:bCs/>
          <w:color w:val="000000"/>
          <w:kern w:val="0"/>
          <w:lang w:eastAsia="en-GB"/>
          <w14:ligatures w14:val="none"/>
        </w:rPr>
        <w:t>Batheaston</w:t>
      </w:r>
      <w:proofErr w:type="spellEnd"/>
    </w:p>
    <w:p w14:paraId="525332D0" w14:textId="77777777" w:rsidR="009E7058" w:rsidRDefault="009E7058" w:rsidP="00EB319C">
      <w:pPr>
        <w:spacing w:after="0" w:line="240" w:lineRule="auto"/>
        <w:rPr>
          <w:rFonts w:ascii="Aptos" w:eastAsia="Times New Roman" w:hAnsi="Aptos" w:cs="Times New Roman"/>
          <w:color w:val="000000"/>
          <w:kern w:val="0"/>
          <w:lang w:eastAsia="en-GB"/>
          <w14:ligatures w14:val="none"/>
        </w:rPr>
      </w:pPr>
    </w:p>
    <w:p w14:paraId="37487DB1" w14:textId="37A865B9" w:rsidR="008750C0" w:rsidRDefault="008750C0" w:rsidP="00EB319C">
      <w:pPr>
        <w:spacing w:after="0" w:line="240" w:lineRule="auto"/>
        <w:rPr>
          <w:rFonts w:ascii="Aptos" w:eastAsia="Times New Roman" w:hAnsi="Aptos" w:cs="Times New Roman"/>
          <w:color w:val="000000"/>
          <w:kern w:val="0"/>
          <w:lang w:eastAsia="en-GB"/>
          <w14:ligatures w14:val="none"/>
        </w:rPr>
      </w:pPr>
      <w:proofErr w:type="spellStart"/>
      <w:r>
        <w:rPr>
          <w:rFonts w:ascii="Aptos" w:eastAsia="Times New Roman" w:hAnsi="Aptos" w:cs="Times New Roman"/>
          <w:color w:val="000000"/>
          <w:kern w:val="0"/>
          <w:lang w:eastAsia="en-GB"/>
          <w14:ligatures w14:val="none"/>
        </w:rPr>
        <w:t>Batheaston</w:t>
      </w:r>
      <w:proofErr w:type="spellEnd"/>
      <w:r>
        <w:rPr>
          <w:rFonts w:ascii="Aptos" w:eastAsia="Times New Roman" w:hAnsi="Aptos" w:cs="Times New Roman"/>
          <w:color w:val="000000"/>
          <w:kern w:val="0"/>
          <w:lang w:eastAsia="en-GB"/>
          <w14:ligatures w14:val="none"/>
        </w:rPr>
        <w:t xml:space="preserve"> Art Trail has a long association with Grow Batheaston.  Although the Art Trail is and always has been independently curated and run, many individuals are associated with both organisations and there is a mutually beneficial connection in terms of ethos and marketing and publicity.</w:t>
      </w:r>
    </w:p>
    <w:p w14:paraId="7C8BE182" w14:textId="77777777" w:rsidR="008750C0" w:rsidRDefault="008750C0" w:rsidP="00EB319C">
      <w:pPr>
        <w:spacing w:after="0" w:line="240" w:lineRule="auto"/>
        <w:rPr>
          <w:rFonts w:ascii="Aptos" w:eastAsia="Times New Roman" w:hAnsi="Aptos" w:cs="Times New Roman"/>
          <w:color w:val="000000"/>
          <w:kern w:val="0"/>
          <w:lang w:eastAsia="en-GB"/>
          <w14:ligatures w14:val="none"/>
        </w:rPr>
      </w:pPr>
    </w:p>
    <w:p w14:paraId="355ABE9B" w14:textId="730AB342" w:rsidR="00EB319C" w:rsidRPr="00EB319C" w:rsidRDefault="00EB319C" w:rsidP="00EB319C">
      <w:pPr>
        <w:spacing w:after="0" w:line="240" w:lineRule="auto"/>
        <w:rPr>
          <w:rFonts w:ascii="Aptos" w:eastAsia="Times New Roman" w:hAnsi="Aptos" w:cs="Times New Roman"/>
          <w:color w:val="000000"/>
          <w:kern w:val="0"/>
          <w:lang w:eastAsia="en-GB"/>
          <w14:ligatures w14:val="none"/>
        </w:rPr>
      </w:pPr>
      <w:r w:rsidRPr="00EB319C">
        <w:rPr>
          <w:rFonts w:ascii="Aptos" w:eastAsia="Times New Roman" w:hAnsi="Aptos" w:cs="Times New Roman"/>
          <w:color w:val="000000"/>
          <w:kern w:val="0"/>
          <w:lang w:eastAsia="en-GB"/>
          <w14:ligatures w14:val="none"/>
        </w:rPr>
        <w:t xml:space="preserve">Grow </w:t>
      </w:r>
      <w:proofErr w:type="spellStart"/>
      <w:r w:rsidRPr="00EB319C">
        <w:rPr>
          <w:rFonts w:ascii="Aptos" w:eastAsia="Times New Roman" w:hAnsi="Aptos" w:cs="Times New Roman"/>
          <w:color w:val="000000"/>
          <w:kern w:val="0"/>
          <w:lang w:eastAsia="en-GB"/>
          <w14:ligatures w14:val="none"/>
        </w:rPr>
        <w:t>Batheaston</w:t>
      </w:r>
      <w:proofErr w:type="spellEnd"/>
      <w:r w:rsidRPr="00EB319C">
        <w:rPr>
          <w:rFonts w:ascii="Aptos" w:eastAsia="Times New Roman" w:hAnsi="Aptos" w:cs="Times New Roman"/>
          <w:color w:val="000000"/>
          <w:kern w:val="0"/>
          <w:lang w:eastAsia="en-GB"/>
          <w14:ligatures w14:val="none"/>
        </w:rPr>
        <w:t xml:space="preserve"> (GB) is a registered charity supporting a broad range of community projects in </w:t>
      </w:r>
      <w:proofErr w:type="spellStart"/>
      <w:r w:rsidRPr="00EB319C">
        <w:rPr>
          <w:rFonts w:ascii="Aptos" w:eastAsia="Times New Roman" w:hAnsi="Aptos" w:cs="Times New Roman"/>
          <w:color w:val="000000"/>
          <w:kern w:val="0"/>
          <w:lang w:eastAsia="en-GB"/>
          <w14:ligatures w14:val="none"/>
        </w:rPr>
        <w:t>Batheaston</w:t>
      </w:r>
      <w:proofErr w:type="spellEnd"/>
      <w:r w:rsidRPr="00EB319C">
        <w:rPr>
          <w:rFonts w:ascii="Aptos" w:eastAsia="Times New Roman" w:hAnsi="Aptos" w:cs="Times New Roman"/>
          <w:color w:val="000000"/>
          <w:kern w:val="0"/>
          <w:lang w:eastAsia="en-GB"/>
          <w14:ligatures w14:val="none"/>
        </w:rPr>
        <w:t>, delivered largely through volunteers. Because GB operates across multiple distinct projects, its financial structure is designed to reflect that diversity.</w:t>
      </w:r>
    </w:p>
    <w:p w14:paraId="754F1593" w14:textId="77777777" w:rsidR="00EB319C" w:rsidRPr="00EB319C" w:rsidRDefault="00EB319C" w:rsidP="00EB319C">
      <w:pPr>
        <w:spacing w:after="0" w:line="240" w:lineRule="auto"/>
        <w:rPr>
          <w:rFonts w:ascii="Aptos" w:eastAsia="Times New Roman" w:hAnsi="Aptos" w:cs="Times New Roman"/>
          <w:color w:val="000000"/>
          <w:kern w:val="0"/>
          <w:lang w:eastAsia="en-GB"/>
          <w14:ligatures w14:val="none"/>
        </w:rPr>
      </w:pPr>
    </w:p>
    <w:p w14:paraId="75FB9D5D" w14:textId="0E2CAE02" w:rsidR="00EB319C" w:rsidRPr="00EB319C" w:rsidRDefault="00EB319C" w:rsidP="00EB319C">
      <w:pPr>
        <w:spacing w:after="0" w:line="240" w:lineRule="auto"/>
        <w:rPr>
          <w:rFonts w:ascii="Aptos" w:eastAsia="Times New Roman" w:hAnsi="Aptos" w:cs="Times New Roman"/>
          <w:color w:val="000000"/>
          <w:kern w:val="0"/>
          <w:lang w:eastAsia="en-GB"/>
          <w14:ligatures w14:val="none"/>
        </w:rPr>
      </w:pPr>
      <w:r w:rsidRPr="00EB319C">
        <w:rPr>
          <w:rFonts w:ascii="Aptos" w:eastAsia="Times New Roman" w:hAnsi="Aptos" w:cs="Times New Roman"/>
          <w:color w:val="000000"/>
          <w:kern w:val="0"/>
          <w:lang w:eastAsia="en-GB"/>
          <w14:ligatures w14:val="none"/>
        </w:rPr>
        <w:t xml:space="preserve">Funds raised for a specific project, whether through events, donations, or grants, are ringfenced for use within that project. Grant applications are prepared and managed by project working groups, each of which operates under the oversight and governance of the GB Trustees. Where events are run in support of a specific project, a contribution of 10% of </w:t>
      </w:r>
      <w:r w:rsidR="008750C0">
        <w:rPr>
          <w:rFonts w:ascii="Aptos" w:eastAsia="Times New Roman" w:hAnsi="Aptos" w:cs="Times New Roman"/>
          <w:color w:val="000000"/>
          <w:kern w:val="0"/>
          <w:lang w:eastAsia="en-GB"/>
          <w14:ligatures w14:val="none"/>
        </w:rPr>
        <w:t xml:space="preserve">any ‘profits’ </w:t>
      </w:r>
      <w:r w:rsidRPr="00EB319C">
        <w:rPr>
          <w:rFonts w:ascii="Aptos" w:eastAsia="Times New Roman" w:hAnsi="Aptos" w:cs="Times New Roman"/>
          <w:color w:val="000000"/>
          <w:kern w:val="0"/>
          <w:lang w:eastAsia="en-GB"/>
          <w14:ligatures w14:val="none"/>
        </w:rPr>
        <w:t>is directed towards GB’s central operating costs; project finances remain separate from the remainder.</w:t>
      </w:r>
    </w:p>
    <w:p w14:paraId="50D0E774" w14:textId="77777777" w:rsidR="00EB319C" w:rsidRPr="00EB319C" w:rsidRDefault="00EB319C" w:rsidP="00EB319C">
      <w:pPr>
        <w:spacing w:after="0" w:line="240" w:lineRule="auto"/>
        <w:rPr>
          <w:rFonts w:ascii="Aptos" w:eastAsia="Times New Roman" w:hAnsi="Aptos" w:cs="Times New Roman"/>
          <w:color w:val="000000"/>
          <w:kern w:val="0"/>
          <w:lang w:eastAsia="en-GB"/>
          <w14:ligatures w14:val="none"/>
        </w:rPr>
      </w:pPr>
    </w:p>
    <w:p w14:paraId="794C31EA" w14:textId="77777777" w:rsidR="00EB319C" w:rsidRPr="00EB319C" w:rsidRDefault="00EB319C" w:rsidP="00EB319C">
      <w:pPr>
        <w:spacing w:after="0" w:line="240" w:lineRule="auto"/>
        <w:rPr>
          <w:rFonts w:ascii="Aptos" w:eastAsia="Times New Roman" w:hAnsi="Aptos" w:cs="Times New Roman"/>
          <w:color w:val="000000"/>
          <w:kern w:val="0"/>
          <w:lang w:eastAsia="en-GB"/>
          <w14:ligatures w14:val="none"/>
        </w:rPr>
      </w:pPr>
      <w:r w:rsidRPr="00EB319C">
        <w:rPr>
          <w:rFonts w:ascii="Aptos" w:eastAsia="Times New Roman" w:hAnsi="Aptos" w:cs="Times New Roman"/>
          <w:color w:val="000000"/>
          <w:kern w:val="0"/>
          <w:lang w:eastAsia="en-GB"/>
          <w14:ligatures w14:val="none"/>
        </w:rPr>
        <w:t>This means that a grant awarded for one GB project does not benefit, and cannot be drawn upon by, any other. When GB submits a grant application on behalf of a project, it does so as the charitable vehicle through which that project is legally and administratively housed; it is not an organisation seeking to consolidate funds across its activities.</w:t>
      </w:r>
    </w:p>
    <w:p w14:paraId="7B23E9F8" w14:textId="77777777" w:rsidR="00EB319C" w:rsidRPr="00EB319C" w:rsidRDefault="00EB319C" w:rsidP="00EB319C">
      <w:pPr>
        <w:spacing w:after="0" w:line="240" w:lineRule="auto"/>
        <w:rPr>
          <w:rFonts w:ascii="Aptos" w:eastAsia="Times New Roman" w:hAnsi="Aptos" w:cs="Times New Roman"/>
          <w:color w:val="000000"/>
          <w:kern w:val="0"/>
          <w:lang w:eastAsia="en-GB"/>
          <w14:ligatures w14:val="none"/>
        </w:rPr>
      </w:pPr>
    </w:p>
    <w:p w14:paraId="2BD3DAFD" w14:textId="442A6A70" w:rsidR="008750C0" w:rsidRDefault="00EB319C" w:rsidP="008750C0">
      <w:pPr>
        <w:spacing w:after="0" w:line="240" w:lineRule="auto"/>
      </w:pPr>
      <w:r w:rsidRPr="00EB319C">
        <w:rPr>
          <w:rFonts w:ascii="Aptos" w:eastAsia="Times New Roman" w:hAnsi="Aptos" w:cs="Times New Roman"/>
          <w:color w:val="000000"/>
          <w:kern w:val="0"/>
          <w:lang w:eastAsia="en-GB"/>
          <w14:ligatures w14:val="none"/>
        </w:rPr>
        <w:t>Funders are therefore encouraged to consider each GB application on its own merits, in relation to the specific project and working group named within it.</w:t>
      </w:r>
      <w:r w:rsidR="008750C0">
        <w:rPr>
          <w:rFonts w:ascii="Aptos" w:eastAsia="Times New Roman" w:hAnsi="Aptos" w:cs="Times New Roman"/>
          <w:color w:val="000000"/>
          <w:kern w:val="0"/>
          <w:lang w:eastAsia="en-GB"/>
          <w14:ligatures w14:val="none"/>
        </w:rPr>
        <w:t xml:space="preserve">  If Parish Council funding for the </w:t>
      </w:r>
      <w:proofErr w:type="spellStart"/>
      <w:r w:rsidR="008750C0">
        <w:rPr>
          <w:rFonts w:ascii="Aptos" w:eastAsia="Times New Roman" w:hAnsi="Aptos" w:cs="Times New Roman"/>
          <w:color w:val="000000"/>
          <w:kern w:val="0"/>
          <w:lang w:eastAsia="en-GB"/>
          <w14:ligatures w14:val="none"/>
        </w:rPr>
        <w:t>Batheaston</w:t>
      </w:r>
      <w:proofErr w:type="spellEnd"/>
      <w:r w:rsidR="008750C0">
        <w:rPr>
          <w:rFonts w:ascii="Aptos" w:eastAsia="Times New Roman" w:hAnsi="Aptos" w:cs="Times New Roman"/>
          <w:color w:val="000000"/>
          <w:kern w:val="0"/>
          <w:lang w:eastAsia="en-GB"/>
          <w14:ligatures w14:val="none"/>
        </w:rPr>
        <w:t xml:space="preserve"> Art Trail workshops is forthcoming it will simply pass through the Grow </w:t>
      </w:r>
      <w:proofErr w:type="spellStart"/>
      <w:r w:rsidR="008750C0">
        <w:rPr>
          <w:rFonts w:ascii="Aptos" w:eastAsia="Times New Roman" w:hAnsi="Aptos" w:cs="Times New Roman"/>
          <w:color w:val="000000"/>
          <w:kern w:val="0"/>
          <w:lang w:eastAsia="en-GB"/>
          <w14:ligatures w14:val="none"/>
        </w:rPr>
        <w:t>Batheaston</w:t>
      </w:r>
      <w:proofErr w:type="spellEnd"/>
      <w:r w:rsidR="008750C0">
        <w:rPr>
          <w:rFonts w:ascii="Aptos" w:eastAsia="Times New Roman" w:hAnsi="Aptos" w:cs="Times New Roman"/>
          <w:color w:val="000000"/>
          <w:kern w:val="0"/>
          <w:lang w:eastAsia="en-GB"/>
          <w14:ligatures w14:val="none"/>
        </w:rPr>
        <w:t xml:space="preserve"> bank account - 100% of it will be spent on the workshops as per the attached budget.</w:t>
      </w:r>
    </w:p>
    <w:p w14:paraId="7E7C9668" w14:textId="3C05A7E5" w:rsidR="00EC3166" w:rsidRDefault="00EC3166"/>
    <w:sectPr w:rsidR="00EC316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9C"/>
    <w:rsid w:val="005671D5"/>
    <w:rsid w:val="007B133F"/>
    <w:rsid w:val="008750C0"/>
    <w:rsid w:val="009E7058"/>
    <w:rsid w:val="00B4381C"/>
    <w:rsid w:val="00C8396F"/>
    <w:rsid w:val="00D76E97"/>
    <w:rsid w:val="00EB319C"/>
    <w:rsid w:val="00EC31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AF47E81"/>
  <w15:chartTrackingRefBased/>
  <w15:docId w15:val="{58AB267C-8AA2-8E46-8E72-E2D1C8271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31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31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31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31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31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31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31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31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31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1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31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31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31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31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31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31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31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319C"/>
    <w:rPr>
      <w:rFonts w:eastAsiaTheme="majorEastAsia" w:cstheme="majorBidi"/>
      <w:color w:val="272727" w:themeColor="text1" w:themeTint="D8"/>
    </w:rPr>
  </w:style>
  <w:style w:type="paragraph" w:styleId="Title">
    <w:name w:val="Title"/>
    <w:basedOn w:val="Normal"/>
    <w:next w:val="Normal"/>
    <w:link w:val="TitleChar"/>
    <w:uiPriority w:val="10"/>
    <w:qFormat/>
    <w:rsid w:val="00EB31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31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31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31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319C"/>
    <w:pPr>
      <w:spacing w:before="160"/>
      <w:jc w:val="center"/>
    </w:pPr>
    <w:rPr>
      <w:i/>
      <w:iCs/>
      <w:color w:val="404040" w:themeColor="text1" w:themeTint="BF"/>
    </w:rPr>
  </w:style>
  <w:style w:type="character" w:customStyle="1" w:styleId="QuoteChar">
    <w:name w:val="Quote Char"/>
    <w:basedOn w:val="DefaultParagraphFont"/>
    <w:link w:val="Quote"/>
    <w:uiPriority w:val="29"/>
    <w:rsid w:val="00EB319C"/>
    <w:rPr>
      <w:i/>
      <w:iCs/>
      <w:color w:val="404040" w:themeColor="text1" w:themeTint="BF"/>
    </w:rPr>
  </w:style>
  <w:style w:type="paragraph" w:styleId="ListParagraph">
    <w:name w:val="List Paragraph"/>
    <w:basedOn w:val="Normal"/>
    <w:uiPriority w:val="34"/>
    <w:qFormat/>
    <w:rsid w:val="00EB319C"/>
    <w:pPr>
      <w:ind w:left="720"/>
      <w:contextualSpacing/>
    </w:pPr>
  </w:style>
  <w:style w:type="character" w:styleId="IntenseEmphasis">
    <w:name w:val="Intense Emphasis"/>
    <w:basedOn w:val="DefaultParagraphFont"/>
    <w:uiPriority w:val="21"/>
    <w:qFormat/>
    <w:rsid w:val="00EB319C"/>
    <w:rPr>
      <w:i/>
      <w:iCs/>
      <w:color w:val="0F4761" w:themeColor="accent1" w:themeShade="BF"/>
    </w:rPr>
  </w:style>
  <w:style w:type="paragraph" w:styleId="IntenseQuote">
    <w:name w:val="Intense Quote"/>
    <w:basedOn w:val="Normal"/>
    <w:next w:val="Normal"/>
    <w:link w:val="IntenseQuoteChar"/>
    <w:uiPriority w:val="30"/>
    <w:qFormat/>
    <w:rsid w:val="00EB31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319C"/>
    <w:rPr>
      <w:i/>
      <w:iCs/>
      <w:color w:val="0F4761" w:themeColor="accent1" w:themeShade="BF"/>
    </w:rPr>
  </w:style>
  <w:style w:type="character" w:styleId="IntenseReference">
    <w:name w:val="Intense Reference"/>
    <w:basedOn w:val="DefaultParagraphFont"/>
    <w:uiPriority w:val="32"/>
    <w:qFormat/>
    <w:rsid w:val="00EB319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Knight</dc:creator>
  <cp:keywords/>
  <dc:description/>
  <cp:lastModifiedBy>Judith Knight</cp:lastModifiedBy>
  <cp:revision>3</cp:revision>
  <dcterms:created xsi:type="dcterms:W3CDTF">2026-04-16T08:54:00Z</dcterms:created>
  <dcterms:modified xsi:type="dcterms:W3CDTF">2026-04-16T09:33:00Z</dcterms:modified>
</cp:coreProperties>
</file>